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Договор на изготовление печатей и штампов</w:t>
      </w:r>
    </w:p>
    <w:p>
      <w:pPr>
        <w:widowControl/>
        <w:spacing w:after="120"/>
      </w:pPr>
      <w:r>
        <w:rPr>
          <w:b/>
          <w:sz w:val="18"/>
        </w:rPr>
        <w:t>ШАБЛОН ДЛЯ СОГЛАСОВАНИЯ И ЗАПОЛНЕНИЯ. НЕ ЯВЛЯЕТСЯ ПУБЛИЧНОЙ ОФЕРТОЙ.</w:t>
      </w:r>
    </w:p>
    <w:p>
      <w:pPr>
        <w:widowControl/>
        <w:spacing w:after="160"/>
      </w:pPr>
      <w:r>
        <w:t xml:space="preserve">Договор № </w:t>
      </w:r>
      <w:r>
        <w:rPr>
          <w:shd w:fill="FFF2CC"/>
        </w:rPr>
        <w:t>[номер]</w:t>
      </w:r>
      <w:r>
        <w:t xml:space="preserve">     г. </w:t>
      </w:r>
      <w:r>
        <w:rPr>
          <w:shd w:fill="FFF2CC"/>
        </w:rPr>
        <w:t>[город]</w:t>
      </w:r>
      <w:r>
        <w:t xml:space="preserve">     </w:t>
      </w:r>
      <w:r>
        <w:rPr>
          <w:shd w:fill="FFF2CC"/>
        </w:rPr>
        <w:t>[дата заключения]</w:t>
      </w:r>
    </w:p>
    <w:p>
      <w:pPr>
        <w:widowControl/>
      </w:pPr>
      <w:r>
        <w:t xml:space="preserve">Индивидуальный предприниматель Коянбаев Асылбек Сейдалимулы, осуществляющий деятельность под наименованием ИП «B2B Service Almaty», ИИН 860428300799, уведомление № KZ79UWQ07200727 от 20.02.2025, действующий лично, далее «Исполнитель», и </w:t>
      </w:r>
      <w:r>
        <w:rPr>
          <w:shd w:fill="FFF2CC"/>
        </w:rPr>
        <w:t>[полное наименование ТОО или ФИО и наименование ИП]</w:t>
      </w:r>
      <w:r>
        <w:t xml:space="preserve">, далее «Заказчик», в лице </w:t>
      </w:r>
      <w:r>
        <w:rPr>
          <w:shd w:fill="FFF2CC"/>
        </w:rPr>
        <w:t>[должность и ФИО]</w:t>
      </w:r>
      <w:r>
        <w:t xml:space="preserve">, действующего на основании </w:t>
      </w:r>
      <w:r>
        <w:rPr>
          <w:shd w:fill="FFF2CC"/>
        </w:rPr>
        <w:t>[основание полномочий]</w:t>
      </w:r>
      <w:r>
        <w:t>, заключили настоящий договор.</w:t>
      </w:r>
    </w:p>
    <w:p>
      <w:pPr>
        <w:widowControl/>
        <w:spacing w:after="140"/>
      </w:pPr>
      <w:r>
        <w:rPr>
          <w:sz w:val="18"/>
        </w:rPr>
        <w:t>Поля в квадратных скобках заполняются до подписания. Реквизиты и полномочия сторон подлежат проверке. Заказ предназначен для предпринимательской деятельности.</w:t>
      </w:r>
    </w:p>
    <w:p>
      <w:pPr>
        <w:pStyle w:val="Heading1"/>
        <w:widowControl/>
      </w:pPr>
      <w:r>
        <w:t>1 Предмет договора</w:t>
      </w:r>
    </w:p>
    <w:p>
      <w:pPr>
        <w:widowControl/>
      </w:pPr>
      <w:r>
        <w:t>1.1. Исполнитель изготавливает и передаёт Заказчику печати и штампы по заданию и утверждённому макету, а Заказчик принимает и оплачивает результат. Вид, количество, размеры, материал клише, оснастка и комплектность определяются в Спецификации заказа (приложение 1).</w:t>
      </w:r>
    </w:p>
    <w:p>
      <w:pPr>
        <w:widowControl/>
      </w:pPr>
      <w:r>
        <w:t>1.2. Спецификация и согласованный файл макета с указанными именем и версией являются частью договора. При расхождении сведений стороны до изготовления письменно уточняют задание. Односторонняя замена материала, оснастки или текста не допускается.</w:t>
      </w:r>
    </w:p>
    <w:p>
      <w:pPr>
        <w:pStyle w:val="Heading1"/>
        <w:widowControl/>
      </w:pPr>
      <w:r>
        <w:t>2 Сведения и согласование макета</w:t>
      </w:r>
    </w:p>
    <w:p>
      <w:pPr>
        <w:widowControl/>
      </w:pPr>
      <w:r>
        <w:t>2.1. Заказчик передаёт достоверные сведения для оттиска и подтверждает полномочия на заказ печати и использование переданных обозначений. Перечень необходимых документов стороны указывают в Спецификации. Исполнитель использует эти сведения только для исполнения заказа.</w:t>
      </w:r>
    </w:p>
    <w:p>
      <w:pPr>
        <w:widowControl/>
      </w:pPr>
      <w:r>
        <w:t>2.2. Исполнитель направляет макет уполномоченному лицу Заказчика. До утверждения Заказчик проверяет название, БИН или ИИН, местоположение, текст, размеры и оформление. Изготовление начинается после явного утверждения конкретной версии макета.</w:t>
      </w:r>
    </w:p>
    <w:p>
      <w:pPr>
        <w:widowControl/>
      </w:pPr>
      <w:r>
        <w:t>2.3. Утверждение макета не освобождает Исполнителя от ответственности за отступления от него и производственные недостатки. При обнаружении явных ошибок или непригодности материалов Исполнитель уведомляет Заказчика и приостанавливает соответствующую работу до согласования решения.</w:t>
      </w:r>
    </w:p>
    <w:p>
      <w:pPr>
        <w:pStyle w:val="Heading1"/>
        <w:widowControl/>
      </w:pPr>
      <w:r>
        <w:t>3 Цена и расчёты</w:t>
      </w:r>
    </w:p>
    <w:p>
      <w:pPr>
        <w:widowControl/>
      </w:pPr>
      <w:r>
        <w:t>3.1. Цена и состав включённых работ, сумма НДС, условия доставки и порядок оплаты указываются в Спецификации. Исполнитель применяет общеустановленный режим налогообложения и является плательщиком НДС. Применимая ставка и сумма НДС уточняются на дату соответствующего оборота по законодательству РК.</w:t>
      </w:r>
    </w:p>
    <w:p>
      <w:pPr>
        <w:widowControl/>
      </w:pPr>
      <w:r>
        <w:t>3.2. Предоплата применяется только при её прямом согласовании в Спецификации. Дополнительные работы и изменение цены выполняются после письменного согласования. Исполнитель передаёт первичные документы и оформляет счёт-фактуру, в том числе электронную, в случаях и сроки, установленные законодательством РК.</w:t>
      </w:r>
    </w:p>
    <w:p>
      <w:r>
        <w:br w:type="page"/>
      </w:r>
    </w:p>
    <w:p>
      <w:pPr>
        <w:pStyle w:val="Heading1"/>
        <w:widowControl/>
      </w:pPr>
      <w:r>
        <w:t>4 Сроки и передача заказа</w:t>
      </w:r>
    </w:p>
    <w:p>
      <w:pPr>
        <w:widowControl/>
      </w:pPr>
      <w:r>
        <w:t>4.1. Сроки работ, условия их начала и передачи заказа определяются в Спецификации. При задержке данных, согласования или предусмотренного платежа Исполнитель сообщает о последствиях; новые сроки стороны согласуют письменно.</w:t>
      </w:r>
    </w:p>
    <w:p>
      <w:pPr>
        <w:widowControl/>
      </w:pPr>
      <w:r>
        <w:t>4.2. Исполнитель сообщает о готовности. При передаче стороны сверяют количество, комплектность, внешний вид и пробный оттиск с макетом и оформляют акт или накладную. Представитель получателя подтверждает полномочия.</w:t>
      </w:r>
    </w:p>
    <w:p>
      <w:pPr>
        <w:widowControl/>
      </w:pPr>
      <w:r>
        <w:t>4.3. Явные недостатки фиксируются в документе передачи. О скрытых недостатках Заказчик сообщает в разумный срок после обнаружения в пределах сроков закона и гарантии. Подписание документа не отменяет права по скрытым недостаткам.</w:t>
      </w:r>
    </w:p>
    <w:p>
      <w:pPr>
        <w:pStyle w:val="Heading1"/>
        <w:widowControl/>
      </w:pPr>
      <w:r>
        <w:t>5 Качество и гарантия</w:t>
      </w:r>
    </w:p>
    <w:p>
      <w:pPr>
        <w:widowControl/>
      </w:pPr>
      <w:r>
        <w:t>5.1. Изделия должны соответствовать Спецификации, макету и обязательным требованиям РК, а оттиск — быть пригодным для согласованного использования.</w:t>
      </w:r>
    </w:p>
    <w:p>
      <w:pPr>
        <w:widowControl/>
      </w:pPr>
      <w:r>
        <w:t>5.2. Гарантия со дня получения заказа: 5 лет на резиновое клише и 1 год на корпус оснастки. Гарантия не ограничивает права Заказчика по законодательству РК.</w:t>
      </w:r>
    </w:p>
    <w:p>
      <w:pPr>
        <w:widowControl/>
      </w:pPr>
      <w:r>
        <w:t>5.3. При недостатках Заказчик вправе требовать бесплатного устранения, соразмерного уменьшения цены и иных мер по закону, включая отказ от договора и убытки при законных основаниях.</w:t>
      </w:r>
    </w:p>
    <w:p>
      <w:pPr>
        <w:widowControl/>
      </w:pPr>
      <w:r>
        <w:t>5.4. Претензия направляется по контактам раздела 9 с описанием недостатка и требованием. Номер заказа и фотографии помогают проверке, но отсутствие фото не препятствует рассмотрению. Решение и сроки определяются с учётом требования и закона.</w:t>
      </w:r>
    </w:p>
    <w:p>
      <w:pPr>
        <w:pStyle w:val="Heading1"/>
        <w:widowControl/>
      </w:pPr>
      <w:r>
        <w:t>6 Изменение заказа и прекращение договора</w:t>
      </w:r>
    </w:p>
    <w:p>
      <w:pPr>
        <w:widowControl/>
      </w:pPr>
      <w:r>
        <w:t xml:space="preserve">6.1. Изменения макета, цены и сроков согласуются письменно. До сдачи результата Заказчик может отказаться от договора, оплатив выполненную до уведомления работу и возместив убытки в пределах пункта 4 статьи 627 ГК РК. Исполнитель предоставляет расчёт и возвращает неиспользованный остаток оплаты в срок </w:t>
      </w:r>
      <w:r>
        <w:rPr>
          <w:shd w:fill="FFF2CC"/>
        </w:rPr>
        <w:t>[срок возврата]</w:t>
      </w:r>
      <w:r>
        <w:t>.</w:t>
      </w:r>
    </w:p>
    <w:p>
      <w:pPr>
        <w:widowControl/>
      </w:pPr>
      <w:r>
        <w:t>6.2. Отказ из-за нарушения договора и расчёты определяются законом. Аванс не является безусловно невозвратным. Ответственность наступает по закону; договорная неустойка требует отдельного письменного согласования.</w:t>
      </w:r>
    </w:p>
    <w:p>
      <w:pPr>
        <w:pStyle w:val="Heading1"/>
        <w:widowControl/>
      </w:pPr>
      <w:r>
        <w:t>7 Переписка и сохранность сведений</w:t>
      </w:r>
    </w:p>
    <w:p>
      <w:pPr>
        <w:widowControl/>
      </w:pPr>
      <w:r>
        <w:t>7.1. Согласование ведётся через уполномоченных лиц и контакты раздела 9. Сообщение должно определять отправителя, заказ и версию макета. Стороны сохраняют переписку и файлы. Переписка не подменяет ЭЦП, обязательную по закону.</w:t>
      </w:r>
    </w:p>
    <w:p>
      <w:pPr>
        <w:widowControl/>
      </w:pPr>
      <w:r>
        <w:t>7.2. Стороны сохраняют документы и персональные данные и обрабатывают их для заказа при законных основаниях. Публикация макета или реквизитов в рекламе требует отдельного согласия Заказчика.</w:t>
      </w:r>
    </w:p>
    <w:p>
      <w:pPr>
        <w:pStyle w:val="Heading1"/>
        <w:widowControl/>
      </w:pPr>
      <w:r>
        <w:t>8 Действие договора и споры</w:t>
      </w:r>
    </w:p>
    <w:p>
      <w:pPr>
        <w:widowControl/>
      </w:pPr>
      <w:r>
        <w:t>8.1. Договор действует с подписания до исполнения обязательств; гарантия сохраняется на свой срок. Споры обсуждаются сторонами, затем разрешаются компетентным судом по законодательству РК. Императивные права по закону сохраняются.</w:t>
      </w:r>
    </w:p>
    <w:p>
      <w:r>
        <w:br w:type="page"/>
      </w:r>
    </w:p>
    <w:p>
      <w:pPr>
        <w:pStyle w:val="Heading1"/>
        <w:widowControl/>
      </w:pPr>
      <w:r>
        <w:t>9 Реквизиты и подписи сторон</w:t>
      </w:r>
    </w:p>
    <w:p>
      <w:pPr>
        <w:widowControl/>
        <w:spacing w:after="160"/>
      </w:pPr>
      <w:r>
        <w:rPr>
          <w:sz w:val="18"/>
        </w:rPr>
        <w:t>Заполните недостающие поля перед подписанием. При изменении реквизитов внесите актуальные сведения.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1"/>
        <w:gridCol w:w="4082"/>
        <w:gridCol w:w="4025"/>
      </w:tblGrid>
      <w:tr>
        <w:trPr>
          <w:cantSplit/>
          <w:tblHeader/>
        </w:trPr>
        <w:tc>
          <w:tcPr>
            <w:tcW w:type="dxa" w:w="1871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9EDF2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Реквизит</w:t>
            </w:r>
          </w:p>
        </w:tc>
        <w:tc>
          <w:tcPr>
            <w:tcW w:type="dxa" w:w="408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9EDF2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Исполнитель</w:t>
            </w:r>
          </w:p>
        </w:tc>
        <w:tc>
          <w:tcPr>
            <w:tcW w:type="dxa" w:w="4025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9EDF2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Заказчик</w:t>
            </w:r>
          </w:p>
        </w:tc>
      </w:tr>
      <w:tr>
        <w:trPr>
          <w:cantSplit/>
        </w:trPr>
        <w:tc>
          <w:tcPr>
            <w:tcW w:type="dxa" w:w="1871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sz w:val="20"/>
              </w:rPr>
              <w:t>Наименование и статус</w:t>
            </w:r>
          </w:p>
        </w:tc>
        <w:tc>
          <w:tcPr>
            <w:tcW w:type="dxa" w:w="408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sz w:val="20"/>
              </w:rPr>
              <w:t>ИП «B2B Service Almaty»</w:t>
              <w:br/>
              <w:t>Коянбаев Асылбек Сейдалимулы</w:t>
            </w:r>
          </w:p>
        </w:tc>
        <w:tc>
          <w:tcPr>
            <w:tcW w:type="dxa" w:w="4025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sz w:val="20"/>
                <w:shd w:fill="FFF2CC"/>
              </w:rPr>
              <w:t>[ИП или ТОО]</w:t>
            </w:r>
            <w:r>
              <w:rPr>
                <w:sz w:val="20"/>
              </w:rPr>
              <w:br/>
            </w:r>
            <w:r>
              <w:rPr>
                <w:sz w:val="20"/>
                <w:shd w:fill="FFF2CC"/>
              </w:rPr>
              <w:t>[полное наименование и ФИО для ИП]</w:t>
            </w:r>
          </w:p>
        </w:tc>
      </w:tr>
      <w:tr>
        <w:trPr>
          <w:cantSplit/>
        </w:trPr>
        <w:tc>
          <w:tcPr>
            <w:tcW w:type="dxa" w:w="1871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sz w:val="20"/>
              </w:rPr>
              <w:t>ИИН или БИН</w:t>
            </w:r>
          </w:p>
        </w:tc>
        <w:tc>
          <w:tcPr>
            <w:tcW w:type="dxa" w:w="408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sz w:val="20"/>
              </w:rPr>
              <w:t>860428300799</w:t>
            </w:r>
          </w:p>
        </w:tc>
        <w:tc>
          <w:tcPr>
            <w:tcW w:type="dxa" w:w="4025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sz w:val="20"/>
                <w:shd w:fill="FFF2CC"/>
              </w:rPr>
              <w:t>[ИИН или БИН]</w:t>
            </w:r>
          </w:p>
        </w:tc>
      </w:tr>
      <w:tr>
        <w:trPr>
          <w:cantSplit/>
        </w:trPr>
        <w:tc>
          <w:tcPr>
            <w:tcW w:type="dxa" w:w="1871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sz w:val="20"/>
              </w:rPr>
              <w:t>Адрес для договора</w:t>
            </w:r>
          </w:p>
        </w:tc>
        <w:tc>
          <w:tcPr>
            <w:tcW w:type="dxa" w:w="408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sz w:val="20"/>
              </w:rPr>
              <w:t>г. Алматы, ул. Амангельды, 52а, офис 1</w:t>
            </w:r>
          </w:p>
        </w:tc>
        <w:tc>
          <w:tcPr>
            <w:tcW w:type="dxa" w:w="4025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sz w:val="20"/>
                <w:shd w:fill="FFF2CC"/>
              </w:rPr>
              <w:t>[юридический адрес или адрес ИП]</w:t>
            </w:r>
          </w:p>
        </w:tc>
      </w:tr>
      <w:tr>
        <w:trPr>
          <w:cantSplit/>
        </w:trPr>
        <w:tc>
          <w:tcPr>
            <w:tcW w:type="dxa" w:w="1871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sz w:val="20"/>
              </w:rPr>
              <w:t>Почтовый адрес</w:t>
            </w:r>
          </w:p>
        </w:tc>
        <w:tc>
          <w:tcPr>
            <w:tcW w:type="dxa" w:w="408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sz w:val="20"/>
                <w:shd w:fill="FFF2CC"/>
              </w:rPr>
              <w:t>[адрес для корреспонденции]</w:t>
            </w:r>
          </w:p>
        </w:tc>
        <w:tc>
          <w:tcPr>
            <w:tcW w:type="dxa" w:w="4025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sz w:val="20"/>
                <w:shd w:fill="FFF2CC"/>
              </w:rPr>
              <w:t>[адрес для корреспонденции]</w:t>
            </w:r>
          </w:p>
        </w:tc>
      </w:tr>
      <w:tr>
        <w:trPr>
          <w:cantSplit/>
        </w:trPr>
        <w:tc>
          <w:tcPr>
            <w:tcW w:type="dxa" w:w="1871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sz w:val="20"/>
              </w:rPr>
              <w:t>Банк</w:t>
            </w:r>
          </w:p>
        </w:tc>
        <w:tc>
          <w:tcPr>
            <w:tcW w:type="dxa" w:w="408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sz w:val="20"/>
              </w:rPr>
              <w:t>АО «Kaspi Bank»</w:t>
            </w:r>
          </w:p>
        </w:tc>
        <w:tc>
          <w:tcPr>
            <w:tcW w:type="dxa" w:w="4025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sz w:val="20"/>
                <w:shd w:fill="FFF2CC"/>
              </w:rPr>
              <w:t>[наименование банка]</w:t>
            </w:r>
          </w:p>
        </w:tc>
      </w:tr>
      <w:tr>
        <w:trPr>
          <w:cantSplit/>
        </w:trPr>
        <w:tc>
          <w:tcPr>
            <w:tcW w:type="dxa" w:w="1871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sz w:val="20"/>
              </w:rPr>
              <w:t>ИИК</w:t>
            </w:r>
          </w:p>
        </w:tc>
        <w:tc>
          <w:tcPr>
            <w:tcW w:type="dxa" w:w="408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sz w:val="20"/>
              </w:rPr>
              <w:t>KZ07722S000010023599</w:t>
              <w:br/>
              <w:t>Валюта счёта — тенге</w:t>
            </w:r>
          </w:p>
        </w:tc>
        <w:tc>
          <w:tcPr>
            <w:tcW w:type="dxa" w:w="4025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sz w:val="20"/>
                <w:shd w:fill="FFF2CC"/>
              </w:rPr>
              <w:t>[IBAN]</w:t>
            </w:r>
          </w:p>
        </w:tc>
      </w:tr>
      <w:tr>
        <w:trPr>
          <w:cantSplit/>
        </w:trPr>
        <w:tc>
          <w:tcPr>
            <w:tcW w:type="dxa" w:w="1871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sz w:val="20"/>
              </w:rPr>
              <w:t>БИК</w:t>
            </w:r>
          </w:p>
        </w:tc>
        <w:tc>
          <w:tcPr>
            <w:tcW w:type="dxa" w:w="408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sz w:val="20"/>
              </w:rPr>
              <w:t>CASPKZKA</w:t>
            </w:r>
          </w:p>
        </w:tc>
        <w:tc>
          <w:tcPr>
            <w:tcW w:type="dxa" w:w="4025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sz w:val="20"/>
                <w:shd w:fill="FFF2CC"/>
              </w:rPr>
              <w:t>[БИК]</w:t>
            </w:r>
          </w:p>
        </w:tc>
      </w:tr>
      <w:tr>
        <w:trPr>
          <w:cantSplit/>
        </w:trPr>
        <w:tc>
          <w:tcPr>
            <w:tcW w:type="dxa" w:w="1871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sz w:val="20"/>
              </w:rPr>
              <w:t>Налоговый статус</w:t>
            </w:r>
          </w:p>
        </w:tc>
        <w:tc>
          <w:tcPr>
            <w:tcW w:type="dxa" w:w="408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sz w:val="20"/>
              </w:rPr>
              <w:t>Общеустановленный режим</w:t>
              <w:br/>
              <w:t>Плательщик НДС</w:t>
              <w:br/>
            </w:r>
            <w:r>
              <w:rPr>
                <w:sz w:val="20"/>
                <w:shd w:fill="FFF2CC"/>
              </w:rPr>
              <w:t>[реквизиты учёта по НДС при необходимости]</w:t>
            </w:r>
          </w:p>
        </w:tc>
        <w:tc>
          <w:tcPr>
            <w:tcW w:type="dxa" w:w="4025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sz w:val="20"/>
                <w:shd w:fill="FFF2CC"/>
              </w:rPr>
              <w:t>[налоговый режим и статус по НДС]</w:t>
            </w:r>
          </w:p>
        </w:tc>
      </w:tr>
      <w:tr>
        <w:trPr>
          <w:cantSplit/>
        </w:trPr>
        <w:tc>
          <w:tcPr>
            <w:tcW w:type="dxa" w:w="1871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sz w:val="20"/>
              </w:rPr>
              <w:t>Подписант</w:t>
            </w:r>
          </w:p>
        </w:tc>
        <w:tc>
          <w:tcPr>
            <w:tcW w:type="dxa" w:w="408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sz w:val="20"/>
              </w:rPr>
              <w:t>Коянбаев Асылбек Сейдалимулы</w:t>
              <w:br/>
              <w:t>Предприниматель действует лично</w:t>
            </w:r>
          </w:p>
        </w:tc>
        <w:tc>
          <w:tcPr>
            <w:tcW w:type="dxa" w:w="4025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sz w:val="20"/>
                <w:shd w:fill="FFF2CC"/>
              </w:rPr>
              <w:t>[ФИО, должность или статус]</w:t>
            </w:r>
            <w:r>
              <w:rPr>
                <w:sz w:val="20"/>
              </w:rPr>
              <w:br/>
            </w:r>
            <w:r>
              <w:rPr>
                <w:sz w:val="20"/>
                <w:shd w:fill="FFF2CC"/>
              </w:rPr>
              <w:t>[основание полномочий]</w:t>
            </w:r>
          </w:p>
        </w:tc>
      </w:tr>
      <w:tr>
        <w:trPr>
          <w:cantSplit/>
        </w:trPr>
        <w:tc>
          <w:tcPr>
            <w:tcW w:type="dxa" w:w="1871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sz w:val="20"/>
              </w:rPr>
              <w:t>Согласование макета</w:t>
            </w:r>
          </w:p>
        </w:tc>
        <w:tc>
          <w:tcPr>
            <w:tcW w:type="dxa" w:w="408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sz w:val="20"/>
              </w:rPr>
              <w:t>Коянбаев Асылбек Сейдалимулы</w:t>
              <w:br/>
              <w:t>+7 777 325 18 88</w:t>
              <w:br/>
              <w:t>info@b2bservice.kz</w:t>
            </w:r>
          </w:p>
        </w:tc>
        <w:tc>
          <w:tcPr>
            <w:tcW w:type="dxa" w:w="4025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sz w:val="20"/>
                <w:shd w:fill="FFF2CC"/>
              </w:rPr>
              <w:t>[ФИО уполномоченного лица]</w:t>
            </w:r>
            <w:r>
              <w:rPr>
                <w:sz w:val="20"/>
              </w:rPr>
              <w:br/>
            </w:r>
            <w:r>
              <w:rPr>
                <w:sz w:val="20"/>
                <w:shd w:fill="FFF2CC"/>
              </w:rPr>
              <w:t>[телефон]</w:t>
            </w:r>
            <w:r>
              <w:rPr>
                <w:sz w:val="20"/>
              </w:rPr>
              <w:br/>
            </w:r>
            <w:r>
              <w:rPr>
                <w:sz w:val="20"/>
                <w:shd w:fill="FFF2CC"/>
              </w:rPr>
              <w:t>[email]</w:t>
            </w:r>
          </w:p>
        </w:tc>
      </w:tr>
      <w:tr>
        <w:trPr>
          <w:cantSplit/>
        </w:trPr>
        <w:tc>
          <w:tcPr>
            <w:tcW w:type="dxa" w:w="1871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sz w:val="20"/>
              </w:rPr>
              <w:t>Получатель заказа</w:t>
            </w:r>
          </w:p>
        </w:tc>
        <w:tc>
          <w:tcPr>
            <w:tcW w:type="dxa" w:w="408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sz w:val="20"/>
              </w:rPr>
              <w:t>Коянбаев Асылбек Сейдалимулы</w:t>
            </w:r>
          </w:p>
        </w:tc>
        <w:tc>
          <w:tcPr>
            <w:tcW w:type="dxa" w:w="4025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sz w:val="20"/>
                <w:shd w:fill="FFF2CC"/>
              </w:rPr>
              <w:t>[ФИО получателя]</w:t>
            </w:r>
            <w:r>
              <w:rPr>
                <w:sz w:val="20"/>
              </w:rPr>
              <w:br/>
            </w:r>
            <w:r>
              <w:rPr>
                <w:sz w:val="20"/>
                <w:shd w:fill="FFF2CC"/>
              </w:rPr>
              <w:t>[документ о полномочиях]</w:t>
            </w:r>
          </w:p>
        </w:tc>
      </w:tr>
    </w:tbl>
    <w:p>
      <w:pPr>
        <w:widowControl/>
        <w:spacing w:after="120"/>
      </w:pPr>
    </w:p>
    <w:p>
      <w:pPr>
        <w:widowControl/>
        <w:spacing w:after="260"/>
      </w:pPr>
      <w:r>
        <w:t>Исполнитель ____________________ / Коянбаев Асылбек Сейдалимулы /</w:t>
      </w:r>
    </w:p>
    <w:p>
      <w:pPr>
        <w:widowControl/>
        <w:spacing w:after="260"/>
      </w:pPr>
      <w:r>
        <w:t xml:space="preserve">Заказчик ________________________ / </w:t>
      </w:r>
      <w:r>
        <w:rPr>
          <w:shd w:fill="FFF2CC"/>
        </w:rPr>
        <w:t>[ФИО]</w:t>
      </w:r>
      <w:r>
        <w:t xml:space="preserve"> /</w:t>
      </w:r>
    </w:p>
    <w:p>
      <w:pPr>
        <w:widowControl/>
      </w:pPr>
      <w:r>
        <w:rPr>
          <w:sz w:val="18"/>
        </w:rPr>
        <w:t xml:space="preserve">Дата подписания: </w:t>
      </w:r>
      <w:r>
        <w:rPr>
          <w:sz w:val="18"/>
          <w:shd w:fill="FFF2CC"/>
        </w:rPr>
        <w:t>[дата]</w:t>
      </w:r>
      <w:r>
        <w:rPr>
          <w:sz w:val="18"/>
        </w:rPr>
        <w:t>. Место для печати — если её использование требуется законом или согласовано сторонами.</w:t>
      </w:r>
    </w:p>
    <w:p>
      <w:pPr>
        <w:widowControl/>
      </w:pPr>
      <w:r>
        <w:rPr>
          <w:sz w:val="20"/>
        </w:rPr>
        <w:t>Приложение 1 — Спецификация заказа. Согласованный макет прилагается в виде файла или отдельного листа с идентификатором, указанным в Спецификации.</w:t>
      </w:r>
    </w:p>
    <w:p>
      <w:r>
        <w:br w:type="page"/>
      </w:r>
    </w:p>
    <w:p>
      <w:pPr>
        <w:pStyle w:val="Subtitle"/>
        <w:widowControl/>
      </w:pPr>
      <w:r>
        <w:t>Приложение 1</w:t>
      </w:r>
    </w:p>
    <w:p>
      <w:pPr>
        <w:pStyle w:val="Title"/>
        <w:widowControl/>
      </w:pPr>
      <w:r>
        <w:t>Спецификация заказа</w:t>
      </w:r>
    </w:p>
    <w:p>
      <w:pPr>
        <w:widowControl/>
        <w:spacing w:after="180"/>
      </w:pPr>
      <w:r>
        <w:t xml:space="preserve">к договору № </w:t>
      </w:r>
      <w:r>
        <w:rPr>
          <w:shd w:fill="FFF2CC"/>
        </w:rPr>
        <w:t>[номер]</w:t>
      </w:r>
      <w:r>
        <w:t xml:space="preserve"> от </w:t>
      </w:r>
      <w:r>
        <w:rPr>
          <w:shd w:fill="FFF2CC"/>
        </w:rPr>
        <w:t>[дата]</w:t>
      </w:r>
      <w:r>
        <w:t xml:space="preserve">     Заказ № </w:t>
      </w:r>
      <w:r>
        <w:rPr>
          <w:shd w:fill="FFF2CC"/>
        </w:rPr>
        <w:t>[номер]</w:t>
      </w:r>
      <w:r>
        <w:t xml:space="preserve"> от </w:t>
      </w:r>
      <w:r>
        <w:rPr>
          <w:shd w:fill="FFF2CC"/>
        </w:rPr>
        <w:t>[дата]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"/>
        <w:gridCol w:w="5046"/>
        <w:gridCol w:w="1020"/>
        <w:gridCol w:w="1701"/>
        <w:gridCol w:w="1701"/>
      </w:tblGrid>
      <w:tr>
        <w:trPr>
          <w:cantSplit/>
          <w:tblHeader/>
        </w:trPr>
        <w:tc>
          <w:tcPr>
            <w:tcW w:type="dxa" w:w="51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9EDF2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504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9EDF2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Изделие и характеристики</w:t>
            </w:r>
          </w:p>
        </w:tc>
        <w:tc>
          <w:tcPr>
            <w:tcW w:type="dxa" w:w="10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9EDF2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Кол-во</w:t>
              <w:br/>
              <w:t>шт</w:t>
            </w:r>
          </w:p>
        </w:tc>
        <w:tc>
          <w:tcPr>
            <w:tcW w:type="dxa" w:w="1701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9EDF2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Цена за ед</w:t>
              <w:br/>
              <w:t>с НДС ₸</w:t>
            </w:r>
          </w:p>
        </w:tc>
        <w:tc>
          <w:tcPr>
            <w:tcW w:type="dxa" w:w="1701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  <w:shd w:fill="E9EDF2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Сумма</w:t>
              <w:br/>
              <w:t>с НДС ₸</w:t>
            </w:r>
          </w:p>
        </w:tc>
      </w:tr>
      <w:tr>
        <w:trPr>
          <w:cantSplit/>
        </w:trPr>
        <w:tc>
          <w:tcPr>
            <w:tcW w:type="dxa" w:w="51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type="dxa" w:w="504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sz w:val="20"/>
                <w:shd w:fill="FFF2CC"/>
              </w:rPr>
              <w:t>[Вид печати или штампа; размер; материал клише; модель оснастки; цвет краски; комплектность]</w:t>
            </w:r>
          </w:p>
        </w:tc>
        <w:tc>
          <w:tcPr>
            <w:tcW w:type="dxa" w:w="10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sz w:val="20"/>
                <w:shd w:fill="FFF2CC"/>
              </w:rPr>
              <w:t>[ ]</w:t>
            </w:r>
          </w:p>
        </w:tc>
        <w:tc>
          <w:tcPr>
            <w:tcW w:type="dxa" w:w="1701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sz w:val="20"/>
                <w:shd w:fill="FFF2CC"/>
              </w:rPr>
              <w:t>[ ]</w:t>
            </w:r>
          </w:p>
        </w:tc>
        <w:tc>
          <w:tcPr>
            <w:tcW w:type="dxa" w:w="1701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sz w:val="20"/>
                <w:shd w:fill="FFF2CC"/>
              </w:rPr>
              <w:t>[ ]</w:t>
            </w:r>
          </w:p>
        </w:tc>
      </w:tr>
      <w:tr>
        <w:trPr>
          <w:cantSplit/>
        </w:trPr>
        <w:tc>
          <w:tcPr>
            <w:tcW w:type="dxa" w:w="51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type="dxa" w:w="504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sz w:val="20"/>
                <w:shd w:fill="FFF2CC"/>
              </w:rPr>
              <w:t>[Изделие и характеристики либо прочерк]</w:t>
            </w:r>
          </w:p>
        </w:tc>
        <w:tc>
          <w:tcPr>
            <w:tcW w:type="dxa" w:w="10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sz w:val="20"/>
                <w:shd w:fill="FFF2CC"/>
              </w:rPr>
              <w:t>[ ]</w:t>
            </w:r>
          </w:p>
        </w:tc>
        <w:tc>
          <w:tcPr>
            <w:tcW w:type="dxa" w:w="1701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sz w:val="20"/>
                <w:shd w:fill="FFF2CC"/>
              </w:rPr>
              <w:t>[ ]</w:t>
            </w:r>
          </w:p>
        </w:tc>
        <w:tc>
          <w:tcPr>
            <w:tcW w:type="dxa" w:w="1701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sz w:val="20"/>
                <w:shd w:fill="FFF2CC"/>
              </w:rPr>
              <w:t>[ ]</w:t>
            </w:r>
          </w:p>
        </w:tc>
      </w:tr>
      <w:tr>
        <w:trPr>
          <w:cantSplit/>
        </w:trPr>
        <w:tc>
          <w:tcPr>
            <w:tcW w:type="dxa" w:w="51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type="dxa" w:w="504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sz w:val="20"/>
                <w:shd w:fill="FFF2CC"/>
              </w:rPr>
              <w:t>[Изделие и характеристики либо прочерк]</w:t>
            </w:r>
          </w:p>
        </w:tc>
        <w:tc>
          <w:tcPr>
            <w:tcW w:type="dxa" w:w="10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sz w:val="20"/>
                <w:shd w:fill="FFF2CC"/>
              </w:rPr>
              <w:t>[ ]</w:t>
            </w:r>
          </w:p>
        </w:tc>
        <w:tc>
          <w:tcPr>
            <w:tcW w:type="dxa" w:w="1701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sz w:val="20"/>
                <w:shd w:fill="FFF2CC"/>
              </w:rPr>
              <w:t>[ ]</w:t>
            </w:r>
          </w:p>
        </w:tc>
        <w:tc>
          <w:tcPr>
            <w:tcW w:type="dxa" w:w="1701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sz w:val="20"/>
                <w:shd w:fill="FFF2CC"/>
              </w:rPr>
              <w:t>[ ]</w:t>
            </w:r>
          </w:p>
        </w:tc>
      </w:tr>
    </w:tbl>
    <w:p>
      <w:pPr>
        <w:widowControl/>
        <w:spacing w:after="20"/>
      </w:pPr>
    </w:p>
    <w:p>
      <w:pPr>
        <w:widowControl/>
      </w:pPr>
      <w:r>
        <w:rPr>
          <w:sz w:val="20"/>
        </w:rPr>
        <w:t xml:space="preserve">Подготовка макета: </w:t>
      </w:r>
      <w:r>
        <w:rPr>
          <w:sz w:val="20"/>
          <w:shd w:fill="FFF2CC"/>
        </w:rPr>
        <w:t>[включена в цену или согласованная стоимость]</w:t>
      </w:r>
      <w:r>
        <w:rPr>
          <w:sz w:val="20"/>
        </w:rPr>
        <w:t>.</w:t>
        <w:br/>
        <w:t xml:space="preserve">Доставка: </w:t>
      </w:r>
      <w:r>
        <w:rPr>
          <w:sz w:val="20"/>
          <w:shd w:fill="FFF2CC"/>
        </w:rPr>
        <w:t>[способ, стоимость и включение в итог]</w:t>
      </w:r>
      <w:r>
        <w:rPr>
          <w:sz w:val="20"/>
        </w:rPr>
        <w:t>.</w:t>
      </w:r>
    </w:p>
    <w:p>
      <w:pPr>
        <w:widowControl/>
      </w:pPr>
      <w:r>
        <w:rPr>
          <w:b/>
          <w:sz w:val="20"/>
        </w:rPr>
        <w:t xml:space="preserve">Итого без НДС: </w:t>
      </w:r>
      <w:r>
        <w:rPr>
          <w:b/>
          <w:sz w:val="20"/>
          <w:shd w:fill="FFF2CC"/>
        </w:rPr>
        <w:t>[сумма]</w:t>
      </w:r>
      <w:r>
        <w:rPr>
          <w:b/>
          <w:sz w:val="20"/>
        </w:rPr>
        <w:t xml:space="preserve"> ₸. НДС по применимой ставке </w:t>
      </w:r>
      <w:r>
        <w:rPr>
          <w:b/>
          <w:sz w:val="20"/>
          <w:shd w:fill="FFF2CC"/>
        </w:rPr>
        <w:t>[ставка]</w:t>
      </w:r>
      <w:r>
        <w:rPr>
          <w:b/>
          <w:sz w:val="20"/>
        </w:rPr>
        <w:t xml:space="preserve"> %: </w:t>
      </w:r>
      <w:r>
        <w:rPr>
          <w:b/>
          <w:sz w:val="20"/>
          <w:shd w:fill="FFF2CC"/>
        </w:rPr>
        <w:t>[сумма]</w:t>
      </w:r>
      <w:r>
        <w:rPr>
          <w:b/>
          <w:sz w:val="20"/>
        </w:rPr>
        <w:t xml:space="preserve"> ₸.</w:t>
        <w:br/>
        <w:t xml:space="preserve">Итого к оплате с НДС: </w:t>
      </w:r>
      <w:r>
        <w:rPr>
          <w:b/>
          <w:sz w:val="20"/>
          <w:shd w:fill="FFF2CC"/>
        </w:rPr>
        <w:t>[сумма]</w:t>
      </w:r>
      <w:r>
        <w:rPr>
          <w:b/>
          <w:sz w:val="20"/>
        </w:rPr>
        <w:t xml:space="preserve"> ₸ (</w:t>
      </w:r>
      <w:r>
        <w:rPr>
          <w:b/>
          <w:sz w:val="20"/>
          <w:shd w:fill="FFF2CC"/>
        </w:rPr>
        <w:t>[сумма прописью]</w:t>
      </w:r>
      <w:r>
        <w:rPr>
          <w:b/>
          <w:sz w:val="20"/>
        </w:rPr>
        <w:t>).</w:t>
      </w:r>
    </w:p>
    <w:p>
      <w:pPr>
        <w:pStyle w:val="Heading1"/>
        <w:widowControl/>
      </w:pPr>
      <w:r>
        <w:t>Оплата и сроки</w:t>
      </w:r>
    </w:p>
    <w:p>
      <w:pPr>
        <w:widowControl/>
      </w:pPr>
      <w:r>
        <w:rPr>
          <w:sz w:val="20"/>
        </w:rPr>
        <w:t xml:space="preserve">Предоплата: </w:t>
      </w:r>
      <w:r>
        <w:rPr>
          <w:sz w:val="20"/>
          <w:shd w:fill="FFF2CC"/>
        </w:rPr>
        <w:t>[не предусмотрена или сумма и срок]</w:t>
      </w:r>
      <w:r>
        <w:rPr>
          <w:sz w:val="20"/>
        </w:rPr>
        <w:t>.</w:t>
        <w:br/>
        <w:t xml:space="preserve">Окончательный расчёт: </w:t>
      </w:r>
      <w:r>
        <w:rPr>
          <w:sz w:val="20"/>
          <w:shd w:fill="FFF2CC"/>
        </w:rPr>
        <w:t>[сумма, условие и срок]</w:t>
      </w:r>
      <w:r>
        <w:rPr>
          <w:sz w:val="20"/>
        </w:rPr>
        <w:t>.</w:t>
        <w:br/>
        <w:t xml:space="preserve">Начало работ: </w:t>
      </w:r>
      <w:r>
        <w:rPr>
          <w:sz w:val="20"/>
          <w:shd w:fill="FFF2CC"/>
        </w:rPr>
        <w:t>[дата]</w:t>
      </w:r>
      <w:r>
        <w:rPr>
          <w:sz w:val="20"/>
        </w:rPr>
        <w:t xml:space="preserve">. Завершение работ: </w:t>
      </w:r>
      <w:r>
        <w:rPr>
          <w:sz w:val="20"/>
          <w:shd w:fill="FFF2CC"/>
        </w:rPr>
        <w:t>[дата и время при необходимости]</w:t>
      </w:r>
      <w:r>
        <w:rPr>
          <w:sz w:val="20"/>
        </w:rPr>
        <w:t>.</w:t>
        <w:br/>
        <w:t xml:space="preserve">Условия начала: </w:t>
      </w:r>
      <w:r>
        <w:rPr>
          <w:sz w:val="20"/>
          <w:shd w:fill="FFF2CC"/>
        </w:rPr>
        <w:t>[перечень исходных данных, утверждение макета, согласованный платёж]</w:t>
      </w:r>
      <w:r>
        <w:rPr>
          <w:sz w:val="20"/>
        </w:rPr>
        <w:t>.</w:t>
        <w:br/>
        <w:t xml:space="preserve">Срок и место передачи: </w:t>
      </w:r>
      <w:r>
        <w:rPr>
          <w:sz w:val="20"/>
          <w:shd w:fill="FFF2CC"/>
        </w:rPr>
        <w:t>[дата, способ, адрес]</w:t>
      </w:r>
      <w:r>
        <w:rPr>
          <w:sz w:val="20"/>
        </w:rPr>
        <w:t>.</w:t>
      </w:r>
    </w:p>
    <w:p>
      <w:pPr>
        <w:pStyle w:val="Heading1"/>
        <w:widowControl/>
      </w:pPr>
      <w:r>
        <w:t>Макет и сведения для изготовления</w:t>
      </w:r>
    </w:p>
    <w:p>
      <w:pPr>
        <w:widowControl/>
      </w:pPr>
      <w:r>
        <w:rPr>
          <w:sz w:val="20"/>
        </w:rPr>
        <w:t xml:space="preserve">Название в оттиске: </w:t>
      </w:r>
      <w:r>
        <w:rPr>
          <w:sz w:val="20"/>
          <w:shd w:fill="FFF2CC"/>
        </w:rPr>
        <w:t>[точный текст]</w:t>
      </w:r>
      <w:r>
        <w:rPr>
          <w:sz w:val="20"/>
        </w:rPr>
        <w:t xml:space="preserve">. БИН или ИИН в оттиске: </w:t>
      </w:r>
      <w:r>
        <w:rPr>
          <w:sz w:val="20"/>
          <w:shd w:fill="FFF2CC"/>
        </w:rPr>
        <w:t>[данные]</w:t>
      </w:r>
      <w:r>
        <w:rPr>
          <w:sz w:val="20"/>
        </w:rPr>
        <w:t>.</w:t>
        <w:br/>
        <w:t xml:space="preserve">Местоположение и прочий текст: </w:t>
      </w:r>
      <w:r>
        <w:rPr>
          <w:sz w:val="20"/>
          <w:shd w:fill="FFF2CC"/>
        </w:rPr>
        <w:t>[точный текст]</w:t>
      </w:r>
      <w:r>
        <w:rPr>
          <w:sz w:val="20"/>
        </w:rPr>
        <w:t>.</w:t>
        <w:br/>
        <w:t xml:space="preserve">Файл или лист макета: </w:t>
      </w:r>
      <w:r>
        <w:rPr>
          <w:sz w:val="20"/>
          <w:shd w:fill="FFF2CC"/>
        </w:rPr>
        <w:t>[имя файла или идентификатор]</w:t>
      </w:r>
      <w:r>
        <w:rPr>
          <w:sz w:val="20"/>
        </w:rPr>
        <w:t xml:space="preserve">, версия </w:t>
      </w:r>
      <w:r>
        <w:rPr>
          <w:sz w:val="20"/>
          <w:shd w:fill="FFF2CC"/>
        </w:rPr>
        <w:t>[номер]</w:t>
      </w:r>
      <w:r>
        <w:rPr>
          <w:sz w:val="20"/>
        </w:rPr>
        <w:t xml:space="preserve">, дата </w:t>
      </w:r>
      <w:r>
        <w:rPr>
          <w:sz w:val="20"/>
          <w:shd w:fill="FFF2CC"/>
        </w:rPr>
        <w:t>[дата]</w:t>
      </w:r>
      <w:r>
        <w:rPr>
          <w:sz w:val="20"/>
        </w:rPr>
        <w:t>.</w:t>
        <w:br/>
        <w:t xml:space="preserve">Согласованный макет приложен: </w:t>
      </w:r>
      <w:r>
        <w:rPr>
          <w:sz w:val="20"/>
          <w:shd w:fill="FFF2CC"/>
        </w:rPr>
        <w:t>[файл или лист и способ передачи]</w:t>
      </w:r>
      <w:r>
        <w:rPr>
          <w:sz w:val="20"/>
        </w:rPr>
        <w:t>.</w:t>
        <w:br/>
        <w:t xml:space="preserve">Документы и материалы Заказчика: </w:t>
      </w:r>
      <w:r>
        <w:rPr>
          <w:sz w:val="20"/>
          <w:shd w:fill="FFF2CC"/>
        </w:rPr>
        <w:t>[перечень или прочерк]</w:t>
      </w:r>
      <w:r>
        <w:rPr>
          <w:sz w:val="20"/>
        </w:rPr>
        <w:t>.</w:t>
      </w:r>
    </w:p>
    <w:p>
      <w:pPr>
        <w:widowControl/>
      </w:pPr>
      <w:r>
        <w:rPr>
          <w:sz w:val="20"/>
        </w:rPr>
        <w:t>Заказчик утверждает указанную версию макета и характеристики изделий. Сведения и расположение элементов проверены. Утверждение не отменяет ответственность Исполнителя за несоответствие изготовленного изделия макету и производственные недостатки.</w:t>
      </w:r>
    </w:p>
    <w:p>
      <w:pPr>
        <w:widowControl/>
      </w:pPr>
      <w:r>
        <w:rPr>
          <w:sz w:val="20"/>
        </w:rPr>
        <w:t xml:space="preserve">Утвердил Заказчик: </w:t>
      </w:r>
      <w:r>
        <w:rPr>
          <w:sz w:val="20"/>
          <w:shd w:fill="FFF2CC"/>
        </w:rPr>
        <w:t>[ФИО и полномочия]</w:t>
      </w:r>
      <w:r>
        <w:rPr>
          <w:sz w:val="20"/>
        </w:rPr>
        <w:t xml:space="preserve">. Дата: </w:t>
      </w:r>
      <w:r>
        <w:rPr>
          <w:sz w:val="20"/>
          <w:shd w:fill="FFF2CC"/>
        </w:rPr>
        <w:t>[дата]</w:t>
      </w:r>
      <w:r>
        <w:rPr>
          <w:sz w:val="20"/>
        </w:rPr>
        <w:t>.</w:t>
        <w:br/>
        <w:t xml:space="preserve">Подпись или идентификатор сообщения об утверждении: </w:t>
      </w:r>
      <w:r>
        <w:rPr>
          <w:sz w:val="20"/>
          <w:shd w:fill="FFF2CC"/>
        </w:rPr>
        <w:t>[подпись или ссылка на сохранённое сообщение]</w:t>
      </w:r>
      <w:r>
        <w:rPr>
          <w:sz w:val="20"/>
        </w:rPr>
        <w:t>.</w:t>
      </w:r>
    </w:p>
    <w:p>
      <w:pPr>
        <w:widowControl/>
        <w:spacing w:after="200"/>
      </w:pPr>
      <w:r>
        <w:rPr>
          <w:sz w:val="20"/>
        </w:rPr>
        <w:t xml:space="preserve">Исполнитель ____________ / Коянбаев Асылбек Сейдалимулы /     Дата </w:t>
      </w:r>
      <w:r>
        <w:rPr>
          <w:sz w:val="20"/>
          <w:shd w:fill="FFF2CC"/>
        </w:rPr>
        <w:t>[дата]</w:t>
      </w:r>
    </w:p>
    <w:p>
      <w:pPr>
        <w:widowControl/>
      </w:pPr>
      <w:r>
        <w:rPr>
          <w:sz w:val="20"/>
        </w:rPr>
        <w:t xml:space="preserve">Заказчик ______________________ / </w:t>
      </w:r>
      <w:r>
        <w:rPr>
          <w:sz w:val="20"/>
          <w:shd w:fill="FFF2CC"/>
        </w:rPr>
        <w:t>[ФИО]</w:t>
      </w:r>
      <w:r>
        <w:rPr>
          <w:sz w:val="20"/>
        </w:rPr>
        <w:t xml:space="preserve"> /     Дата </w:t>
      </w:r>
      <w:r>
        <w:rPr>
          <w:sz w:val="20"/>
          <w:shd w:fill="FFF2CC"/>
        </w:rPr>
        <w:t>[дата]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Шаблон договора • pechatialmaty.kz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00"/>
    </w:pPr>
    <w:rPr>
      <w:rFonts w:ascii="Arial" w:hAnsi="Arial" w:eastAsia="Arial" w:cs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100" w:line="252" w:lineRule="auto"/>
    </w:pPr>
    <w:rPr>
      <w:rFonts w:ascii="Arial" w:hAnsi="Arial" w:eastAsia="Arial" w:cs="Arial"/>
      <w:color w:val="000000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100" w:line="252" w:lineRule="auto"/>
    </w:pPr>
    <w:rPr>
      <w:rFonts w:ascii="Arial" w:hAnsi="Arial" w:eastAsia="Arial" w:cs="Arial"/>
      <w:color w:val="00000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52" w:lineRule="auto"/>
      <w:outlineLvl w:val="0"/>
    </w:pPr>
    <w:rPr>
      <w:rFonts w:ascii="Arial" w:hAnsi="Arial" w:eastAsia="Arial" w:cs="Arial"/>
      <w:b/>
      <w:bCs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2" w:lineRule="auto"/>
      <w:outlineLvl w:val="1"/>
    </w:pPr>
    <w:rPr>
      <w:rFonts w:ascii="Arial" w:hAnsi="Arial" w:eastAsia="Arial" w:cs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52" w:lineRule="auto"/>
      <w:contextualSpacing/>
    </w:pPr>
    <w:rPr>
      <w:rFonts w:ascii="Arial" w:hAnsi="Arial" w:eastAsia="Arial" w:cs="Arial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52" w:lineRule="auto" w:after="100"/>
    </w:pPr>
    <w:rPr>
      <w:rFonts w:ascii="Arial" w:hAnsi="Arial" w:eastAsia="Arial" w:cs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изготовление печатей и штампов</dc:title>
  <dc:subject>Редактируемый шаблон для заказа ИП и ТОО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